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318DBCF"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附件1</w:t>
      </w:r>
    </w:p>
    <w:p w14:paraId="4848D458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经济专业技术资格规定和经济专业技术资格考试实施办法（摘录）第十条 </w:t>
      </w:r>
    </w:p>
    <w:p w14:paraId="54A07E1A">
      <w:pPr>
        <w:pStyle w:val="style0"/>
        <w:rPr/>
      </w:pPr>
      <w:r>
        <w:rPr>
          <w:rFonts w:hint="eastAsia"/>
          <w:lang w:eastAsia="zh-CN"/>
        </w:rPr>
        <w:t>具备下列条件之一者，可以报名参加高级经济专业技术资格考试： （一）具备大学专科学历，取得中级经济专业技术资格后，从事与经济师职责相关工作满10年； （二）具备硕士学位，或第二学士学位或研究生班毕业，或大学本科学历或学士学位，取得中级经济专业技术资格后，从事与经济师职责相关工作满5年； （三）具备博士学位，取得中级经济专业技术资格后，从事与经济师职责相关工作满2年。 取得会计、统计、审计中级专业技术资格，符合以上学历、年限条件的，可以报名参加高级经济专业技术资格考试。 第十六条 取得房地产估价师、咨询工程师（投资）、土地登记代理人、房地产经纪人、银行业专业人员中级职业资格，可对应中级经济专业技术资格；取得资产评估师、税务师职业资格等相关职业资格，可根据《经济专业人员职称评价基本标准条件》规定的学历、年限条件对应初级或中级经济专业技术资格，并可作为报名参加高一级经济专业技术资格考试的条件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426</Words>
  <Characters>427</Characters>
  <Application>WPS Office</Application>
  <Paragraphs>3</Paragraphs>
  <CharactersWithSpaces>434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2025-05-25T13:13:53Z</dcterms:created>
  <dc:creator>PKM110</dc:creator>
  <lastModifiedBy>PKM110</lastModifiedBy>
  <dcterms:modified xsi:type="dcterms:W3CDTF">2025-05-25T13:14:23Z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595d32507cbf4a69a6092e0454485a1e_21</vt:lpwstr>
  </property>
</Properties>
</file>